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80.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Липа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амурская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8" name="Рисунок 18" descr="Липа Дальневосточн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а Дальневосточн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Лечебно-диетический состав такого меда определяется уникальным набором медоносов Уссурийской тайги, часть из которых произрастает только на Дальнем Востоке. </w:t>
      </w:r>
      <w:r w:rsidRPr="00D75B01">
        <w:rPr>
          <w:rFonts w:ascii="Tahoma" w:eastAsia="Times New Roman" w:hAnsi="Tahoma" w:cs="Tahoma"/>
          <w:color w:val="696665"/>
          <w:sz w:val="20"/>
          <w:szCs w:val="20"/>
        </w:rPr>
        <w:t>В …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81.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Хлопковый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7" name="Рисунок 17" descr="81_hlopok_новый разме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_hlopok_новый разме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Хлопковый мед богат полезными веществами. В его составе много витаминов, минералов и эфирных масел.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Известно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,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что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употребление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такого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меда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…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lastRenderedPageBreak/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83.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Верблюжья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колючка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5" name="Рисунок 15" descr="83_koluchka_новый разме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3_koluchka_новый разме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  <w:lang w:val="ru-RU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Очень </w:t>
      </w:r>
      <w:proofErr w:type="gramStart"/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>редкий</w:t>
      </w:r>
      <w:proofErr w:type="gramEnd"/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 с тонким изысканным вкусом и нежным ароматом. Мед из верблюжьей колючки содержит различные микроэлементы, витамины, органические кислоты …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84.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Альпийские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луга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4" name="Рисунок 14" descr="84_luga_новый размер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4_luga_новый размер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  <w:lang w:val="ru-RU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>Собран пчелами с цветов альпийских лугов горного Кавказа на высоте более 1500 м. Его состав богат на микроэлементы, минеральные …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lastRenderedPageBreak/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86.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Молочный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цветок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2" name="Рисунок 12" descr="86_molochnyi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6_molochnyi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Нежный тающий вкус медового «пломбира» с молочным послевкусием вернет Вас в детство и подарит минуты блаженства.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Этот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мед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может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…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  <w:lang w:val="ru-RU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  <w:lang w:val="ru-RU"/>
        </w:rPr>
        <w:t>№ 90. Мед-суфле с кедровой живицей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8" name="Рисунок 8" descr="90_zhivits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_zhivits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  <w:lang w:val="ru-RU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lastRenderedPageBreak/>
        <w:t>Живица, добавляемая в мед, значительно усиливает его целебные свойства. Лучшее средство при гастритах, язвах желудка, ангине, гриппе, гайморите, экземе, …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91.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с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пыльцой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7" name="Рисунок 7" descr="91_pwlca_новый размер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1_pwlca_новый разме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В пыльце содержатся все аминокислоты, в том числе незаменимые, минеральные вещества и другие необходимые организму компоненты. </w:t>
      </w:r>
    </w:p>
    <w:p w:rsidR="00D75B01" w:rsidRPr="00D75B01" w:rsidRDefault="00D75B01" w:rsidP="00D75B01">
      <w:pPr>
        <w:shd w:val="clear" w:color="auto" w:fill="FFFFFF"/>
        <w:spacing w:after="24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93.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с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прополисом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lastRenderedPageBreak/>
        <w:drawing>
          <wp:inline distT="0" distB="0" distL="0" distR="0">
            <wp:extent cx="2857500" cy="2857500"/>
            <wp:effectExtent l="0" t="0" r="0" b="0"/>
            <wp:docPr id="6" name="Рисунок 6" descr="93_propolis_новый размер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3_propolis_новый размер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Присутствие в меде прополиса — усиливает его целебные свойства. Прополис считается народным средством от всех болезней. 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№ 96.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Мед-суфле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С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Пергой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5" name="Рисунок 5" descr="96_perga_новый размер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6_perga_новый размер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  <w:lang w:val="ru-RU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>Перга является одной из самых совершенных пищевых добавок. Мед с пергой повышает тонус организма, нормализует ге</w:t>
      </w:r>
      <w:r>
        <w:rPr>
          <w:rFonts w:ascii="Tahoma" w:eastAsia="Times New Roman" w:hAnsi="Tahoma" w:cs="Tahoma"/>
          <w:color w:val="696665"/>
          <w:sz w:val="20"/>
          <w:szCs w:val="20"/>
          <w:lang w:val="ru-RU"/>
        </w:rPr>
        <w:t>моглобин и укрепляет сердечную мышцу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  <w:lang w:val="ru-RU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  <w:lang w:val="ru-RU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  <w:lang w:val="ru-RU"/>
        </w:rPr>
        <w:t>№ 98. Мед-суфле с кедровой живицей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lastRenderedPageBreak/>
        <w:drawing>
          <wp:inline distT="0" distB="0" distL="0" distR="0" wp14:anchorId="3F14025C" wp14:editId="7DAB6786">
            <wp:extent cx="2857500" cy="2857500"/>
            <wp:effectExtent l="0" t="0" r="0" b="0"/>
            <wp:docPr id="4" name="Рисунок 4" descr="89_zhivitsa_новый размер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9_zhivitsa_новый размер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Нет в наличии. Живица, добавляемая в мед, значительно усиливает его целебные свойства.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Лучшее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средство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при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гастритах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,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язвах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желудка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, </w:t>
      </w:r>
      <w:proofErr w:type="spellStart"/>
      <w:proofErr w:type="gram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ангине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>, …</w:t>
      </w:r>
      <w:proofErr w:type="gramEnd"/>
    </w:p>
    <w:p w:rsidR="00D75B01" w:rsidRPr="00D75B01" w:rsidRDefault="00D75B01" w:rsidP="00D75B01">
      <w:pPr>
        <w:shd w:val="clear" w:color="auto" w:fill="FFFFFF"/>
        <w:spacing w:after="24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  <w:lang w:val="ru-RU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  <w:lang w:val="ru-RU"/>
        </w:rPr>
        <w:t>№201. Мед-суфле с кедровым орехом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3" name="Рисунок 3" descr="201_kedr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_kedr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  <w:lang w:val="ru-RU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Мед с кедровым орехом — это целый питательный комплекс с непревзойденным вкусом.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Это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отличный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помощник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при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переходе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на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proofErr w:type="spellStart"/>
      <w:r w:rsidRPr="00D75B01">
        <w:rPr>
          <w:rFonts w:ascii="Tahoma" w:eastAsia="Times New Roman" w:hAnsi="Tahoma" w:cs="Tahoma"/>
          <w:color w:val="696665"/>
          <w:sz w:val="20"/>
          <w:szCs w:val="20"/>
        </w:rPr>
        <w:t>вегетарианское</w:t>
      </w:r>
      <w:proofErr w:type="spellEnd"/>
      <w:r w:rsidRPr="00D75B01">
        <w:rPr>
          <w:rFonts w:ascii="Tahoma" w:eastAsia="Times New Roman" w:hAnsi="Tahoma" w:cs="Tahoma"/>
          <w:color w:val="696665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696665"/>
          <w:sz w:val="20"/>
          <w:szCs w:val="20"/>
          <w:lang w:val="ru-RU"/>
        </w:rPr>
        <w:t>питание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</w:p>
    <w:p w:rsidR="00D75B01" w:rsidRPr="00D75B01" w:rsidRDefault="00D75B01" w:rsidP="00D75B01">
      <w:pPr>
        <w:numPr>
          <w:ilvl w:val="0"/>
          <w:numId w:val="1"/>
        </w:numPr>
        <w:pBdr>
          <w:bottom w:val="single" w:sz="6" w:space="6" w:color="CDCCCB"/>
        </w:pBdr>
        <w:shd w:val="clear" w:color="auto" w:fill="FFFFFF"/>
        <w:spacing w:after="300" w:line="360" w:lineRule="atLeast"/>
        <w:ind w:left="-285" w:right="-240"/>
        <w:textAlignment w:val="top"/>
        <w:outlineLvl w:val="3"/>
        <w:rPr>
          <w:rFonts w:ascii="Tahoma" w:eastAsia="Times New Roman" w:hAnsi="Tahoma" w:cs="Tahoma"/>
          <w:color w:val="373432"/>
          <w:spacing w:val="15"/>
          <w:sz w:val="27"/>
          <w:szCs w:val="27"/>
        </w:rPr>
      </w:pPr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lastRenderedPageBreak/>
        <w:t xml:space="preserve">№202.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Мед-коктейль</w:t>
      </w:r>
      <w:proofErr w:type="spellEnd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 xml:space="preserve"> с </w:t>
      </w:r>
      <w:proofErr w:type="spellStart"/>
      <w:r w:rsidRPr="00D75B01">
        <w:rPr>
          <w:rFonts w:ascii="Tahoma" w:eastAsia="Times New Roman" w:hAnsi="Tahoma" w:cs="Tahoma"/>
          <w:b/>
          <w:bCs/>
          <w:color w:val="373432"/>
          <w:spacing w:val="15"/>
          <w:sz w:val="27"/>
          <w:szCs w:val="27"/>
        </w:rPr>
        <w:t>курагой</w:t>
      </w:r>
      <w:proofErr w:type="spellEnd"/>
    </w:p>
    <w:p w:rsidR="00D75B01" w:rsidRPr="00D75B01" w:rsidRDefault="00D75B01" w:rsidP="00D75B01">
      <w:pPr>
        <w:shd w:val="clear" w:color="auto" w:fill="FFFFFF"/>
        <w:spacing w:after="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C1A1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2" name="Рисунок 2" descr="202_kuraga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_kuraga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1" w:rsidRPr="00D75B01" w:rsidRDefault="00D75B01" w:rsidP="00D75B01">
      <w:pPr>
        <w:shd w:val="clear" w:color="auto" w:fill="FFFFFF"/>
        <w:spacing w:after="300" w:line="315" w:lineRule="atLeast"/>
        <w:ind w:left="-285" w:right="-240"/>
        <w:textAlignment w:val="top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  <w:lang w:val="ru-RU"/>
        </w:rPr>
        <w:t xml:space="preserve">Мед с курагой — не только вкуснейшая новинка в медовом мире, но и настоящий помощник здоровью и красоте. </w:t>
      </w:r>
    </w:p>
    <w:p w:rsidR="00D75B01" w:rsidRPr="00D75B01" w:rsidRDefault="00D75B01" w:rsidP="00D75B01">
      <w:pPr>
        <w:shd w:val="clear" w:color="auto" w:fill="FFFFFF"/>
        <w:spacing w:after="0" w:line="315" w:lineRule="atLeast"/>
        <w:ind w:left="-240" w:right="-240"/>
        <w:rPr>
          <w:rFonts w:ascii="Tahoma" w:eastAsia="Times New Roman" w:hAnsi="Tahoma" w:cs="Tahoma"/>
          <w:color w:val="696665"/>
          <w:sz w:val="20"/>
          <w:szCs w:val="20"/>
        </w:rPr>
      </w:pPr>
      <w:r w:rsidRPr="00D75B01">
        <w:rPr>
          <w:rFonts w:ascii="Tahoma" w:eastAsia="Times New Roman" w:hAnsi="Tahoma" w:cs="Tahoma"/>
          <w:color w:val="696665"/>
          <w:sz w:val="20"/>
          <w:szCs w:val="20"/>
        </w:rPr>
        <w:t> </w:t>
      </w:r>
      <w:bookmarkStart w:id="0" w:name="_GoBack"/>
      <w:bookmarkEnd w:id="0"/>
    </w:p>
    <w:sectPr w:rsidR="00D75B01" w:rsidRPr="00D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395"/>
    <w:multiLevelType w:val="multilevel"/>
    <w:tmpl w:val="690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97"/>
    <w:rsid w:val="004D1F97"/>
    <w:rsid w:val="00BB2F4E"/>
    <w:rsid w:val="00D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5B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5B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5B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B01"/>
  </w:style>
  <w:style w:type="paragraph" w:styleId="a5">
    <w:name w:val="Balloon Text"/>
    <w:basedOn w:val="a"/>
    <w:link w:val="a6"/>
    <w:uiPriority w:val="99"/>
    <w:semiHidden/>
    <w:unhideWhenUsed/>
    <w:rsid w:val="00D7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5B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5B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5B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B01"/>
  </w:style>
  <w:style w:type="paragraph" w:styleId="a5">
    <w:name w:val="Balloon Text"/>
    <w:basedOn w:val="a"/>
    <w:link w:val="a6"/>
    <w:uiPriority w:val="99"/>
    <w:semiHidden/>
    <w:unhideWhenUsed/>
    <w:rsid w:val="00D7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onihoney.ru/item/%d1%85%d0%bb%d0%be%d0%bf%d0%ba%d0%be%d0%b2%d1%8b%d0%b9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eronihoney.ru/item/%e2%84%96-91-%d0%bc%d0%b5%d0%b4-%d1%81-%d0%bf%d1%8b%d0%bb%d1%8c%d1%86%d0%be%d0%b9/" TargetMode="External"/><Relationship Id="rId26" Type="http://schemas.openxmlformats.org/officeDocument/2006/relationships/hyperlink" Target="http://peronihoney.ru/item/%e2%84%96201-%d0%bc%d0%b5%d0%b4-%d1%81%d1%83%d1%84%d0%bb%d0%b5-%d1%81-%d0%ba%d0%b5%d0%b4%d1%80%d0%be%d0%b2%d1%8b%d0%bc%d0%b8-%d0%be%d1%80%d0%b5%d1%88%d0%ba%d0%b0%d0%bc%d0%b8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peronihoney.ru/item/%d0%b0%d0%bb%d1%8c%d0%bf%d0%b8%d0%b9%d1%81%d0%ba%d0%b8%d0%b5-%d0%bb%d1%83%d0%b3%d0%b0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peronihoney.ru/item/%e2%84%96-90-%d0%bc%d0%b5%d0%b4-%d1%81%d1%83%d1%84%d0%bb%d0%b5-%d1%81-%d0%b6%d0%b8%d0%b2%d0%b8%d1%86%d0%b5%d0%b9/" TargetMode="External"/><Relationship Id="rId20" Type="http://schemas.openxmlformats.org/officeDocument/2006/relationships/hyperlink" Target="http://peronihoney.ru/item/%d0%bc%d0%b5%d0%b4-%d1%81-%d0%bf%d1%80%d0%be%d0%bf%d0%be%d0%bb%d0%b8%d1%81%d0%be%d0%bc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peronihoney.ru/item/%d0%b4%d0%b0%d0%bb%d1%8c%d0%bd%d0%b5%d0%b2%d0%be%d1%81%d1%82%d0%be%d1%87%d0%bd%d1%8b%d0%b9-%d0%bb%d0%b8%d0%bf%d0%be%d0%b2%d1%8b%d0%b9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peronihoney.ru/item/%d1%81-%d0%b6%d0%b8%d0%b2%d0%b8%d1%86%d0%b5%d0%b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peronihoney.ru/item/%e2%84%96202-%d0%bc%d0%b5%d0%b4-%d1%81%d1%83%d1%84%d0%bb%d0%b5-%d1%81-%d0%ba%d1%83%d1%80%d0%b0%d0%b3%d0%be%d0%b9/" TargetMode="External"/><Relationship Id="rId10" Type="http://schemas.openxmlformats.org/officeDocument/2006/relationships/hyperlink" Target="http://peronihoney.ru/item/%d0%b2%d0%b5%d1%80%d0%b1%d0%bb%d1%8e%d0%b6%d1%8c%d1%8f_%d0%ba%d0%be%d0%bb%d1%8e%d1%87%d0%ba%d0%b0/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ronihoney.ru/item/%e2%84%96-86-%d0%bc%d0%b5%d0%b4-%d1%81%d1%83%d1%84%d0%bb%d0%b5-%d0%bc%d0%be%d0%bb%d0%be%d1%87%d0%bd%d1%8b%d0%b9-%d1%86%d0%b2%d0%b5%d1%82%d0%be%d0%ba/" TargetMode="External"/><Relationship Id="rId22" Type="http://schemas.openxmlformats.org/officeDocument/2006/relationships/hyperlink" Target="http://peronihoney.ru/item/%d1%81-%d0%bf%d0%b5%d1%80%d0%b3%d0%be%d0%b9/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2014-02-10T12:44:00Z</dcterms:created>
  <dcterms:modified xsi:type="dcterms:W3CDTF">2014-02-10T12:49:00Z</dcterms:modified>
</cp:coreProperties>
</file>